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87" w:rsidRPr="005A61D0" w:rsidRDefault="00701BD4" w:rsidP="005026DB">
      <w:pPr>
        <w:spacing w:after="200" w:line="276" w:lineRule="auto"/>
        <w:ind w:left="-720" w:right="-720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127377F" wp14:editId="2888CCA5">
            <wp:simplePos x="0" y="0"/>
            <wp:positionH relativeFrom="margin">
              <wp:posOffset>1762125</wp:posOffset>
            </wp:positionH>
            <wp:positionV relativeFrom="margin">
              <wp:posOffset>-757555</wp:posOffset>
            </wp:positionV>
            <wp:extent cx="2286000" cy="139986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99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F72C50B" wp14:editId="40FDE24E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1029970" cy="641985"/>
            <wp:effectExtent l="0" t="0" r="0" b="5715"/>
            <wp:wrapThrough wrapText="bothSides">
              <wp:wrapPolygon edited="0">
                <wp:start x="0" y="0"/>
                <wp:lineTo x="0" y="21151"/>
                <wp:lineTo x="21174" y="21151"/>
                <wp:lineTo x="21174" y="0"/>
                <wp:lineTo x="0" y="0"/>
              </wp:wrapPolygon>
            </wp:wrapThrough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587" w:rsidRDefault="005A0471" w:rsidP="005026DB">
      <w:pPr>
        <w:spacing w:after="200" w:line="276" w:lineRule="auto"/>
        <w:ind w:left="-720" w:right="-720"/>
        <w:jc w:val="center"/>
        <w:rPr>
          <w:rFonts w:ascii="Calibri" w:eastAsia="Calibri" w:hAnsi="Calibri" w:cs="Times New Roman"/>
          <w:b/>
          <w:sz w:val="40"/>
        </w:rPr>
      </w:pPr>
      <w:r w:rsidRPr="005A61D0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F90B0" wp14:editId="0CFE7300">
                <wp:simplePos x="0" y="0"/>
                <wp:positionH relativeFrom="column">
                  <wp:posOffset>-381000</wp:posOffset>
                </wp:positionH>
                <wp:positionV relativeFrom="paragraph">
                  <wp:posOffset>389890</wp:posOffset>
                </wp:positionV>
                <wp:extent cx="6791325" cy="352425"/>
                <wp:effectExtent l="0" t="0" r="28575" b="476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5242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587" w:rsidRPr="005A61D0" w:rsidRDefault="006957B3" w:rsidP="005026DB">
                            <w:pPr>
                              <w:ind w:left="-720" w:right="-720"/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Community </w:t>
                            </w:r>
                            <w:r w:rsidR="003A4587"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Health and Hunger Program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F90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0pt;margin-top:30.7pt;width:534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" fillcolor="#1f497d" stroked="f" strokecolor="#f2f2f2" strokeweight="3pt">
                <v:shadow on="t" color="#243f60" opacity=".5" offset="1pt"/>
                <v:textbox>
                  <w:txbxContent>
                    <w:p w:rsidR="003A4587" w:rsidRPr="005A61D0" w:rsidRDefault="006957B3" w:rsidP="005026DB">
                      <w:pPr>
                        <w:ind w:left="-720" w:right="-720"/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 xml:space="preserve">Community </w:t>
                      </w:r>
                      <w:r w:rsidR="003A4587">
                        <w:rPr>
                          <w:b/>
                          <w:color w:val="FFFFFF"/>
                          <w:sz w:val="28"/>
                        </w:rPr>
                        <w:t xml:space="preserve">Health and Hunger Program </w:t>
                      </w:r>
                    </w:p>
                  </w:txbxContent>
                </v:textbox>
              </v:shape>
            </w:pict>
          </mc:Fallback>
        </mc:AlternateContent>
      </w:r>
    </w:p>
    <w:p w:rsidR="00625817" w:rsidRDefault="00625817" w:rsidP="005026DB">
      <w:pPr>
        <w:spacing w:after="200" w:line="276" w:lineRule="auto"/>
        <w:ind w:left="-720" w:right="-720"/>
        <w:rPr>
          <w:rFonts w:eastAsia="Calibri" w:cs="Arial"/>
          <w:color w:val="000000"/>
        </w:rPr>
      </w:pPr>
    </w:p>
    <w:p w:rsidR="005A0471" w:rsidRDefault="005A0471" w:rsidP="005026DB">
      <w:pPr>
        <w:spacing w:after="200" w:line="276" w:lineRule="auto"/>
        <w:ind w:left="-720" w:right="-720"/>
        <w:rPr>
          <w:rFonts w:eastAsia="Calibri" w:cs="Arial"/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309245</wp:posOffset>
            </wp:positionV>
            <wp:extent cx="929640" cy="812165"/>
            <wp:effectExtent l="0" t="0" r="3810" b="6985"/>
            <wp:wrapThrough wrapText="bothSides">
              <wp:wrapPolygon edited="0">
                <wp:start x="6639" y="0"/>
                <wp:lineTo x="0" y="3547"/>
                <wp:lineTo x="0" y="14186"/>
                <wp:lineTo x="443" y="17226"/>
                <wp:lineTo x="5311" y="21279"/>
                <wp:lineTo x="6639" y="21279"/>
                <wp:lineTo x="14607" y="21279"/>
                <wp:lineTo x="15934" y="21279"/>
                <wp:lineTo x="20803" y="17226"/>
                <wp:lineTo x="21246" y="14186"/>
                <wp:lineTo x="21246" y="3547"/>
                <wp:lineTo x="14607" y="0"/>
                <wp:lineTo x="6639" y="0"/>
              </wp:wrapPolygon>
            </wp:wrapThrough>
            <wp:docPr id="2" name="Picture 2" descr="Image result for health and hunger america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 and hunger america graph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817" w:rsidRDefault="006957B3" w:rsidP="005026DB">
      <w:pPr>
        <w:spacing w:after="200" w:line="276" w:lineRule="auto"/>
        <w:ind w:left="-720" w:right="-720"/>
        <w:rPr>
          <w:rFonts w:eastAsia="Calibri" w:cs="Arial"/>
          <w:color w:val="000000"/>
        </w:rPr>
      </w:pPr>
      <w:r w:rsidRPr="00EB4279">
        <w:rPr>
          <w:rFonts w:eastAsia="Calibri" w:cs="Arial"/>
          <w:color w:val="000000"/>
        </w:rPr>
        <w:t>T</w:t>
      </w:r>
      <w:r>
        <w:rPr>
          <w:rFonts w:eastAsia="Calibri" w:cs="Arial"/>
          <w:color w:val="000000"/>
        </w:rPr>
        <w:t>he Community Health and Hunger P</w:t>
      </w:r>
      <w:r w:rsidRPr="00EB4279">
        <w:rPr>
          <w:rFonts w:eastAsia="Calibri" w:cs="Arial"/>
          <w:color w:val="000000"/>
        </w:rPr>
        <w:t>rogram addresses the issue of nutrition and health in low-income families by seeking to increase the integration of health care and emergency food delivery to low-income and food-insecure Mainers. In turn, this improves health outcomes and limits the effects of food insecurity as a contributor to chronic disease.</w:t>
      </w:r>
    </w:p>
    <w:p w:rsidR="005A0471" w:rsidRDefault="00AF7524" w:rsidP="005026DB">
      <w:pPr>
        <w:spacing w:after="200" w:line="276" w:lineRule="auto"/>
        <w:ind w:left="-720" w:right="-720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One in seven </w:t>
      </w:r>
      <w:r w:rsidR="00EF1A88">
        <w:rPr>
          <w:rFonts w:eastAsia="Calibri" w:cs="Arial"/>
          <w:color w:val="000000"/>
        </w:rPr>
        <w:t xml:space="preserve">Mainers </w:t>
      </w:r>
      <w:r w:rsidR="00540541">
        <w:rPr>
          <w:rFonts w:eastAsia="Calibri" w:cs="Arial"/>
          <w:noProof/>
          <w:color w:val="000000"/>
        </w:rPr>
        <w:t>is</w:t>
      </w:r>
      <w:r w:rsidR="00EF1A88">
        <w:rPr>
          <w:rFonts w:eastAsia="Calibri" w:cs="Arial"/>
          <w:color w:val="000000"/>
        </w:rPr>
        <w:t xml:space="preserve"> food </w:t>
      </w:r>
      <w:r>
        <w:rPr>
          <w:rFonts w:eastAsia="Calibri" w:cs="Arial"/>
          <w:color w:val="000000"/>
        </w:rPr>
        <w:t>insecure,</w:t>
      </w:r>
      <w:r w:rsidR="00EF1A88">
        <w:rPr>
          <w:rFonts w:eastAsia="Calibri" w:cs="Arial"/>
          <w:color w:val="000000"/>
        </w:rPr>
        <w:t xml:space="preserve"> meaning they lack regular access to nutritious foods. </w:t>
      </w:r>
      <w:r>
        <w:rPr>
          <w:rFonts w:eastAsia="Calibri" w:cs="Arial"/>
          <w:color w:val="000000"/>
        </w:rPr>
        <w:t xml:space="preserve">Simultaneously, one in three Mainers </w:t>
      </w:r>
      <w:r w:rsidR="00540541">
        <w:rPr>
          <w:rFonts w:eastAsia="Calibri" w:cs="Arial"/>
          <w:noProof/>
          <w:color w:val="000000"/>
        </w:rPr>
        <w:t>is</w:t>
      </w:r>
      <w:r>
        <w:rPr>
          <w:rFonts w:eastAsia="Calibri" w:cs="Arial"/>
          <w:color w:val="000000"/>
        </w:rPr>
        <w:t xml:space="preserve"> considered obese. Maine ranks first in New England for food insecurity AND first in obes</w:t>
      </w:r>
      <w:r w:rsidR="00EB4279">
        <w:rPr>
          <w:rFonts w:eastAsia="Calibri" w:cs="Arial"/>
          <w:color w:val="000000"/>
        </w:rPr>
        <w:t>ity and Type II</w:t>
      </w:r>
      <w:r>
        <w:rPr>
          <w:rFonts w:eastAsia="Calibri" w:cs="Arial"/>
          <w:color w:val="000000"/>
        </w:rPr>
        <w:t xml:space="preserve"> diabetes</w:t>
      </w:r>
      <w:r w:rsidR="00584412">
        <w:rPr>
          <w:rFonts w:eastAsia="Calibri" w:cs="Arial"/>
          <w:color w:val="000000"/>
        </w:rPr>
        <w:t>*</w:t>
      </w:r>
      <w:r>
        <w:rPr>
          <w:rFonts w:eastAsia="Calibri" w:cs="Arial"/>
          <w:color w:val="000000"/>
        </w:rPr>
        <w:t xml:space="preserve">, two </w:t>
      </w:r>
      <w:r w:rsidRPr="00540541">
        <w:rPr>
          <w:rFonts w:eastAsia="Calibri" w:cs="Arial"/>
          <w:noProof/>
          <w:color w:val="000000"/>
        </w:rPr>
        <w:t>diet</w:t>
      </w:r>
      <w:r w:rsidR="00540541">
        <w:rPr>
          <w:rFonts w:eastAsia="Calibri" w:cs="Arial"/>
          <w:noProof/>
          <w:color w:val="000000"/>
        </w:rPr>
        <w:t>-</w:t>
      </w:r>
      <w:r w:rsidRPr="00540541">
        <w:rPr>
          <w:rFonts w:eastAsia="Calibri" w:cs="Arial"/>
          <w:noProof/>
          <w:color w:val="000000"/>
        </w:rPr>
        <w:t>related</w:t>
      </w:r>
      <w:r>
        <w:rPr>
          <w:rFonts w:eastAsia="Calibri" w:cs="Arial"/>
          <w:color w:val="000000"/>
        </w:rPr>
        <w:t xml:space="preserve"> conditions often exacerbated by </w:t>
      </w:r>
      <w:r w:rsidR="00EB4279">
        <w:rPr>
          <w:rFonts w:eastAsia="Calibri" w:cs="Arial"/>
          <w:color w:val="000000"/>
        </w:rPr>
        <w:t>food insecurity</w:t>
      </w:r>
      <w:r>
        <w:rPr>
          <w:rFonts w:eastAsia="Calibri" w:cs="Arial"/>
          <w:color w:val="000000"/>
        </w:rPr>
        <w:t xml:space="preserve">. </w:t>
      </w:r>
      <w:r w:rsidR="00EB4279">
        <w:rPr>
          <w:rFonts w:eastAsia="Calibri" w:cs="Arial"/>
          <w:color w:val="000000"/>
        </w:rPr>
        <w:t xml:space="preserve">Lack of adequate nutrition can impair an individual’s ability to treat and prevent conditions such as Type II diabetes, hypertension, and obesity, </w:t>
      </w:r>
      <w:r w:rsidR="006957B3">
        <w:rPr>
          <w:rFonts w:eastAsia="Calibri" w:cs="Arial"/>
          <w:color w:val="000000"/>
        </w:rPr>
        <w:t>and can prevent them from successfully managing other chronic health conditions. Good Shepherd Food Bank’s</w:t>
      </w:r>
      <w:r w:rsidR="00EB4279">
        <w:rPr>
          <w:rFonts w:eastAsia="Calibri" w:cs="Arial"/>
          <w:color w:val="000000"/>
        </w:rPr>
        <w:t xml:space="preserve"> </w:t>
      </w:r>
      <w:r w:rsidR="00C708BF">
        <w:rPr>
          <w:rFonts w:eastAsia="Calibri" w:cs="Arial"/>
          <w:color w:val="000000"/>
        </w:rPr>
        <w:t xml:space="preserve">Community </w:t>
      </w:r>
      <w:r w:rsidR="00EB4279">
        <w:rPr>
          <w:rFonts w:eastAsia="Calibri" w:cs="Arial"/>
          <w:color w:val="000000"/>
        </w:rPr>
        <w:t>Health and Hunger Program is committed to partnering</w:t>
      </w:r>
      <w:r w:rsidR="00EF1C6B">
        <w:rPr>
          <w:rFonts w:eastAsia="Calibri" w:cs="Arial"/>
          <w:color w:val="000000"/>
        </w:rPr>
        <w:t xml:space="preserve"> with health</w:t>
      </w:r>
      <w:r w:rsidR="00802CA7">
        <w:rPr>
          <w:rFonts w:eastAsia="Calibri" w:cs="Arial"/>
          <w:color w:val="000000"/>
        </w:rPr>
        <w:t xml:space="preserve"> </w:t>
      </w:r>
      <w:r w:rsidR="00EF1C6B">
        <w:rPr>
          <w:rFonts w:eastAsia="Calibri" w:cs="Arial"/>
          <w:color w:val="000000"/>
        </w:rPr>
        <w:t>care providers to connect food insecure patients with community resources and</w:t>
      </w:r>
      <w:r w:rsidR="00540541">
        <w:rPr>
          <w:rFonts w:eastAsia="Calibri" w:cs="Arial"/>
          <w:color w:val="000000"/>
        </w:rPr>
        <w:t xml:space="preserve"> the</w:t>
      </w:r>
      <w:r w:rsidR="00EF1C6B">
        <w:rPr>
          <w:rFonts w:eastAsia="Calibri" w:cs="Arial"/>
          <w:color w:val="000000"/>
        </w:rPr>
        <w:t xml:space="preserve"> </w:t>
      </w:r>
      <w:r w:rsidR="00EF1C6B" w:rsidRPr="00540541">
        <w:rPr>
          <w:rFonts w:eastAsia="Calibri" w:cs="Arial"/>
          <w:noProof/>
          <w:color w:val="000000"/>
        </w:rPr>
        <w:t>food</w:t>
      </w:r>
      <w:r w:rsidR="00EF1C6B">
        <w:rPr>
          <w:rFonts w:eastAsia="Calibri" w:cs="Arial"/>
          <w:color w:val="000000"/>
        </w:rPr>
        <w:t xml:space="preserve"> they need to </w:t>
      </w:r>
      <w:r w:rsidR="006957B3">
        <w:rPr>
          <w:rFonts w:eastAsia="Calibri" w:cs="Arial"/>
          <w:color w:val="000000"/>
        </w:rPr>
        <w:t>better manage their health needs</w:t>
      </w:r>
      <w:r w:rsidR="00EF1C6B">
        <w:rPr>
          <w:rFonts w:eastAsia="Calibri" w:cs="Arial"/>
          <w:color w:val="000000"/>
        </w:rPr>
        <w:t>.</w:t>
      </w:r>
      <w:r w:rsidR="00EB4279">
        <w:rPr>
          <w:rFonts w:eastAsia="Calibri" w:cs="Arial"/>
          <w:color w:val="000000"/>
        </w:rPr>
        <w:t xml:space="preserve"> </w:t>
      </w:r>
    </w:p>
    <w:p w:rsidR="005026DB" w:rsidRDefault="00774E64" w:rsidP="002202DA">
      <w:pPr>
        <w:spacing w:after="200" w:line="276" w:lineRule="auto"/>
        <w:ind w:left="-720" w:right="-720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40005</wp:posOffset>
            </wp:positionV>
            <wp:extent cx="914400" cy="840105"/>
            <wp:effectExtent l="0" t="0" r="0" b="0"/>
            <wp:wrapThrough wrapText="bothSides">
              <wp:wrapPolygon edited="0">
                <wp:start x="6750" y="0"/>
                <wp:lineTo x="0" y="3429"/>
                <wp:lineTo x="0" y="16653"/>
                <wp:lineTo x="5400" y="21061"/>
                <wp:lineTo x="6750" y="21061"/>
                <wp:lineTo x="14400" y="21061"/>
                <wp:lineTo x="15750" y="21061"/>
                <wp:lineTo x="21150" y="16653"/>
                <wp:lineTo x="21150" y="3429"/>
                <wp:lineTo x="14400" y="0"/>
                <wp:lineTo x="6750" y="0"/>
              </wp:wrapPolygon>
            </wp:wrapThrough>
            <wp:docPr id="5" name="Picture 4" descr="Image result for health and hunger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ealth and hunger amer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914">
        <w:rPr>
          <w:rFonts w:eastAsia="Calibri" w:cs="Arial"/>
          <w:color w:val="000000"/>
        </w:rPr>
        <w:t xml:space="preserve">The </w:t>
      </w:r>
      <w:r w:rsidR="006957B3">
        <w:rPr>
          <w:rFonts w:eastAsia="Calibri" w:cs="Arial"/>
          <w:color w:val="000000"/>
        </w:rPr>
        <w:t xml:space="preserve">CHH </w:t>
      </w:r>
      <w:r w:rsidR="008D1914">
        <w:rPr>
          <w:rFonts w:eastAsia="Calibri" w:cs="Arial"/>
          <w:color w:val="000000"/>
        </w:rPr>
        <w:t>program</w:t>
      </w:r>
      <w:r w:rsidR="00EB4279" w:rsidRPr="00EB4279">
        <w:rPr>
          <w:rFonts w:eastAsia="Calibri" w:cs="Arial"/>
          <w:color w:val="000000"/>
        </w:rPr>
        <w:t xml:space="preserve"> builds partnerships </w:t>
      </w:r>
      <w:r w:rsidR="006957B3">
        <w:rPr>
          <w:rFonts w:eastAsia="Calibri" w:cs="Arial"/>
          <w:color w:val="000000"/>
        </w:rPr>
        <w:t>between the Food Bank and health</w:t>
      </w:r>
      <w:r w:rsidR="00802CA7">
        <w:rPr>
          <w:rFonts w:eastAsia="Calibri" w:cs="Arial"/>
          <w:color w:val="000000"/>
        </w:rPr>
        <w:t xml:space="preserve"> </w:t>
      </w:r>
      <w:r w:rsidR="006957B3">
        <w:rPr>
          <w:rFonts w:eastAsia="Calibri" w:cs="Arial"/>
          <w:color w:val="000000"/>
        </w:rPr>
        <w:t>care organizations so</w:t>
      </w:r>
      <w:r w:rsidR="00EB4279" w:rsidRPr="00EB4279">
        <w:rPr>
          <w:rFonts w:eastAsia="Calibri" w:cs="Arial"/>
          <w:color w:val="000000"/>
        </w:rPr>
        <w:t xml:space="preserve"> together we may better identify and remove barriers for Mainers who lack access to e</w:t>
      </w:r>
      <w:r w:rsidR="006957B3">
        <w:rPr>
          <w:rFonts w:eastAsia="Calibri" w:cs="Arial"/>
          <w:color w:val="000000"/>
        </w:rPr>
        <w:t>nough nutritious food to live healthy lives</w:t>
      </w:r>
      <w:r w:rsidR="00EB4279" w:rsidRPr="00EB4279">
        <w:rPr>
          <w:rFonts w:eastAsia="Calibri" w:cs="Arial"/>
          <w:color w:val="000000"/>
        </w:rPr>
        <w:t>. This is accomplished</w:t>
      </w:r>
      <w:r w:rsidR="006957B3">
        <w:rPr>
          <w:rFonts w:eastAsia="Calibri" w:cs="Arial"/>
          <w:color w:val="000000"/>
        </w:rPr>
        <w:t xml:space="preserve"> through two main activities:</w:t>
      </w:r>
      <w:r w:rsidR="00EB4279" w:rsidRPr="00EB4279">
        <w:rPr>
          <w:rFonts w:eastAsia="Calibri" w:cs="Arial"/>
          <w:color w:val="000000"/>
        </w:rPr>
        <w:t xml:space="preserve"> empowering health</w:t>
      </w:r>
      <w:r w:rsidR="00802CA7">
        <w:rPr>
          <w:rFonts w:eastAsia="Calibri" w:cs="Arial"/>
          <w:color w:val="000000"/>
        </w:rPr>
        <w:t xml:space="preserve"> </w:t>
      </w:r>
      <w:bookmarkStart w:id="0" w:name="_GoBack"/>
      <w:bookmarkEnd w:id="0"/>
      <w:r w:rsidR="00EB4279" w:rsidRPr="00EB4279">
        <w:rPr>
          <w:rFonts w:eastAsia="Calibri" w:cs="Arial"/>
          <w:color w:val="000000"/>
        </w:rPr>
        <w:t>care providers to increase access to healthy food for patients ide</w:t>
      </w:r>
      <w:r w:rsidR="00C708BF">
        <w:rPr>
          <w:rFonts w:eastAsia="Calibri" w:cs="Arial"/>
          <w:color w:val="000000"/>
        </w:rPr>
        <w:t>ntified as food insecure</w:t>
      </w:r>
      <w:r w:rsidR="006957B3">
        <w:rPr>
          <w:rFonts w:eastAsia="Calibri" w:cs="Arial"/>
          <w:color w:val="000000"/>
        </w:rPr>
        <w:t xml:space="preserve"> and</w:t>
      </w:r>
      <w:r w:rsidR="00EB4279" w:rsidRPr="00EB4279">
        <w:rPr>
          <w:rFonts w:eastAsia="Calibri" w:cs="Arial"/>
          <w:color w:val="000000"/>
        </w:rPr>
        <w:t xml:space="preserve"> building the capacity of community-based hunger-relief programs to provide consistently available healthy foods such as fruits and vegetables.</w:t>
      </w:r>
      <w:r w:rsidR="0059549F" w:rsidRPr="0059549F">
        <w:rPr>
          <w:noProof/>
        </w:rPr>
        <w:t xml:space="preserve"> </w:t>
      </w:r>
    </w:p>
    <w:p w:rsidR="00625817" w:rsidRPr="00625817" w:rsidRDefault="00D674D6" w:rsidP="005026DB">
      <w:pPr>
        <w:spacing w:after="200" w:line="276" w:lineRule="auto"/>
        <w:ind w:left="-720" w:right="-720"/>
        <w:jc w:val="center"/>
        <w:rPr>
          <w:rFonts w:eastAsia="Calibri" w:cs="Arial"/>
          <w:b/>
          <w:color w:val="000000"/>
          <w:u w:val="single"/>
        </w:rPr>
      </w:pPr>
      <w:r w:rsidRPr="00774E64">
        <w:rPr>
          <w:b/>
          <w:noProof/>
          <w:u w:val="singl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203200</wp:posOffset>
            </wp:positionV>
            <wp:extent cx="895350" cy="854075"/>
            <wp:effectExtent l="0" t="0" r="0" b="3175"/>
            <wp:wrapThrough wrapText="bothSides">
              <wp:wrapPolygon edited="0">
                <wp:start x="0" y="0"/>
                <wp:lineTo x="0" y="21199"/>
                <wp:lineTo x="21140" y="21199"/>
                <wp:lineTo x="21140" y="0"/>
                <wp:lineTo x="0" y="0"/>
              </wp:wrapPolygon>
            </wp:wrapThrough>
            <wp:docPr id="7" name="Picture 7" descr="C:\Users\lhiggins\Desktop\infographic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higgins\Desktop\infographic\Untitl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817">
        <w:rPr>
          <w:b/>
          <w:noProof/>
          <w:u w:val="single"/>
        </w:rPr>
        <w:t>Program Details</w:t>
      </w:r>
    </w:p>
    <w:p w:rsidR="00D674D6" w:rsidRDefault="00EF1C6B" w:rsidP="005026DB">
      <w:pPr>
        <w:spacing w:after="200" w:line="276" w:lineRule="auto"/>
        <w:ind w:left="-720" w:right="-720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Good Shepherd Food Bank provides training </w:t>
      </w:r>
      <w:r w:rsidR="006957B3">
        <w:rPr>
          <w:rFonts w:eastAsia="Calibri" w:cs="Arial"/>
          <w:color w:val="000000"/>
        </w:rPr>
        <w:t>to</w:t>
      </w:r>
      <w:r>
        <w:rPr>
          <w:rFonts w:eastAsia="Calibri" w:cs="Arial"/>
          <w:color w:val="000000"/>
        </w:rPr>
        <w:t xml:space="preserve"> health</w:t>
      </w:r>
      <w:r w:rsidR="00802CA7">
        <w:rPr>
          <w:rFonts w:eastAsia="Calibri" w:cs="Arial"/>
          <w:color w:val="000000"/>
        </w:rPr>
        <w:t xml:space="preserve"> </w:t>
      </w:r>
      <w:r>
        <w:rPr>
          <w:rFonts w:eastAsia="Calibri" w:cs="Arial"/>
          <w:color w:val="000000"/>
        </w:rPr>
        <w:t xml:space="preserve">care partners interested in </w:t>
      </w:r>
      <w:r w:rsidR="006957B3">
        <w:rPr>
          <w:rFonts w:eastAsia="Calibri" w:cs="Arial"/>
          <w:color w:val="000000"/>
        </w:rPr>
        <w:t>implementing</w:t>
      </w:r>
      <w:r>
        <w:rPr>
          <w:rFonts w:eastAsia="Calibri" w:cs="Arial"/>
          <w:color w:val="000000"/>
        </w:rPr>
        <w:t xml:space="preserve"> the </w:t>
      </w:r>
      <w:r w:rsidR="00802CA7">
        <w:rPr>
          <w:rFonts w:eastAsia="Calibri" w:cs="Arial"/>
          <w:color w:val="000000"/>
        </w:rPr>
        <w:t xml:space="preserve">Hunger </w:t>
      </w:r>
      <w:r>
        <w:rPr>
          <w:rFonts w:eastAsia="Calibri" w:cs="Arial"/>
          <w:color w:val="000000"/>
        </w:rPr>
        <w:t>Vital Signs</w:t>
      </w:r>
      <w:r w:rsidR="00802CA7">
        <w:rPr>
          <w:rFonts w:eastAsia="Calibri" w:cstheme="minorHAnsi"/>
          <w:color w:val="000000"/>
        </w:rPr>
        <w:t>™</w:t>
      </w:r>
      <w:r>
        <w:rPr>
          <w:rFonts w:eastAsia="Calibri" w:cs="Arial"/>
          <w:color w:val="000000"/>
        </w:rPr>
        <w:t xml:space="preserve"> Food Insecurity Screening questions as part of routine patient visits. </w:t>
      </w:r>
      <w:r w:rsidR="00F11239">
        <w:rPr>
          <w:rFonts w:eastAsia="Calibri" w:cs="Arial"/>
          <w:color w:val="000000"/>
        </w:rPr>
        <w:t>T</w:t>
      </w:r>
      <w:r w:rsidR="00557FC2">
        <w:rPr>
          <w:rFonts w:eastAsia="Calibri" w:cs="Arial"/>
          <w:color w:val="000000"/>
        </w:rPr>
        <w:t>he Food Bank</w:t>
      </w:r>
      <w:r w:rsidR="00F11239">
        <w:rPr>
          <w:rFonts w:eastAsia="Calibri" w:cs="Arial"/>
          <w:color w:val="000000"/>
        </w:rPr>
        <w:t xml:space="preserve"> </w:t>
      </w:r>
      <w:r w:rsidR="006957B3">
        <w:rPr>
          <w:rFonts w:eastAsia="Calibri" w:cs="Arial"/>
          <w:color w:val="000000"/>
        </w:rPr>
        <w:t xml:space="preserve">can </w:t>
      </w:r>
      <w:r w:rsidR="00F11239">
        <w:rPr>
          <w:rFonts w:eastAsia="Calibri" w:cs="Arial"/>
          <w:color w:val="000000"/>
        </w:rPr>
        <w:t>also</w:t>
      </w:r>
      <w:r w:rsidR="006957B3">
        <w:rPr>
          <w:rFonts w:eastAsia="Calibri" w:cs="Arial"/>
          <w:color w:val="000000"/>
        </w:rPr>
        <w:t xml:space="preserve"> provide</w:t>
      </w:r>
      <w:r w:rsidR="00557FC2">
        <w:rPr>
          <w:rFonts w:eastAsia="Calibri" w:cs="Arial"/>
          <w:color w:val="000000"/>
        </w:rPr>
        <w:t xml:space="preserve"> health</w:t>
      </w:r>
      <w:r w:rsidR="00802CA7">
        <w:rPr>
          <w:rFonts w:eastAsia="Calibri" w:cs="Arial"/>
          <w:color w:val="000000"/>
        </w:rPr>
        <w:t xml:space="preserve"> </w:t>
      </w:r>
      <w:r w:rsidR="00557FC2">
        <w:rPr>
          <w:rFonts w:eastAsia="Calibri" w:cs="Arial"/>
          <w:color w:val="000000"/>
        </w:rPr>
        <w:t xml:space="preserve">care partners with pre-packed emergency food bags </w:t>
      </w:r>
      <w:r w:rsidR="006957B3" w:rsidRPr="006957B3">
        <w:rPr>
          <w:rFonts w:eastAsia="Calibri" w:cs="Arial"/>
          <w:color w:val="000000"/>
        </w:rPr>
        <w:t xml:space="preserve">for direct and immediate distribution to those who identify as food insecure.  These bags, purchased by the healthcare center for $10 each and provided to patients at no cost, can provide 2-3 days of nutritious shelf-stable food to patients struggling to manage a chronic illness.   </w:t>
      </w:r>
      <w:r w:rsidR="006957B3">
        <w:rPr>
          <w:rFonts w:eastAsia="Calibri" w:cs="Arial"/>
          <w:color w:val="000000"/>
        </w:rPr>
        <w:t>Each health</w:t>
      </w:r>
      <w:r w:rsidR="00802CA7">
        <w:rPr>
          <w:rFonts w:eastAsia="Calibri" w:cs="Arial"/>
          <w:color w:val="000000"/>
        </w:rPr>
        <w:t xml:space="preserve"> </w:t>
      </w:r>
      <w:r w:rsidR="006957B3">
        <w:rPr>
          <w:rFonts w:eastAsia="Calibri" w:cs="Arial"/>
          <w:color w:val="000000"/>
        </w:rPr>
        <w:t xml:space="preserve">care partner is also provided with </w:t>
      </w:r>
      <w:r w:rsidR="00557FC2">
        <w:rPr>
          <w:rFonts w:eastAsia="Calibri" w:cs="Arial"/>
          <w:color w:val="000000"/>
        </w:rPr>
        <w:t>a list of local emergency food access points to offer to patients that screen positive for foo</w:t>
      </w:r>
      <w:r w:rsidR="006957B3">
        <w:rPr>
          <w:rFonts w:eastAsia="Calibri" w:cs="Arial"/>
          <w:color w:val="000000"/>
        </w:rPr>
        <w:t>d insecurity. In addition, the</w:t>
      </w:r>
      <w:r w:rsidR="00F11239">
        <w:rPr>
          <w:rFonts w:eastAsia="Calibri" w:cs="Arial"/>
          <w:color w:val="000000"/>
        </w:rPr>
        <w:t xml:space="preserve"> Food Bank works closely with local partner agencies to support</w:t>
      </w:r>
      <w:r w:rsidR="006957B3">
        <w:rPr>
          <w:rFonts w:eastAsia="Calibri" w:cs="Arial"/>
          <w:color w:val="000000"/>
        </w:rPr>
        <w:t xml:space="preserve"> successful referrals from the h</w:t>
      </w:r>
      <w:r w:rsidR="00F11239">
        <w:rPr>
          <w:rFonts w:eastAsia="Calibri" w:cs="Arial"/>
          <w:color w:val="000000"/>
        </w:rPr>
        <w:t>ealth</w:t>
      </w:r>
      <w:r w:rsidR="00802CA7">
        <w:rPr>
          <w:rFonts w:eastAsia="Calibri" w:cs="Arial"/>
          <w:color w:val="000000"/>
        </w:rPr>
        <w:t xml:space="preserve"> </w:t>
      </w:r>
      <w:r w:rsidR="00F11239">
        <w:rPr>
          <w:rFonts w:eastAsia="Calibri" w:cs="Arial"/>
          <w:color w:val="000000"/>
        </w:rPr>
        <w:t>care partner to</w:t>
      </w:r>
      <w:r w:rsidR="00540541">
        <w:rPr>
          <w:rFonts w:eastAsia="Calibri" w:cs="Arial"/>
          <w:color w:val="000000"/>
        </w:rPr>
        <w:t xml:space="preserve"> the</w:t>
      </w:r>
      <w:r w:rsidR="00F11239">
        <w:rPr>
          <w:rFonts w:eastAsia="Calibri" w:cs="Arial"/>
          <w:color w:val="000000"/>
        </w:rPr>
        <w:t xml:space="preserve"> </w:t>
      </w:r>
      <w:r w:rsidR="006957B3">
        <w:rPr>
          <w:rFonts w:eastAsia="Calibri" w:cs="Arial"/>
          <w:color w:val="000000"/>
        </w:rPr>
        <w:t xml:space="preserve">community’s local </w:t>
      </w:r>
      <w:r w:rsidR="00F11239" w:rsidRPr="00540541">
        <w:rPr>
          <w:rFonts w:eastAsia="Calibri" w:cs="Arial"/>
          <w:noProof/>
          <w:color w:val="000000"/>
        </w:rPr>
        <w:t>pantry</w:t>
      </w:r>
      <w:r w:rsidR="00F11239">
        <w:rPr>
          <w:rFonts w:eastAsia="Calibri" w:cs="Arial"/>
          <w:color w:val="000000"/>
        </w:rPr>
        <w:t xml:space="preserve">. </w:t>
      </w:r>
      <w:r w:rsidR="0059549F">
        <w:rPr>
          <w:rFonts w:eastAsia="Calibri" w:cs="Arial"/>
          <w:color w:val="000000"/>
        </w:rPr>
        <w:t xml:space="preserve"> </w:t>
      </w:r>
    </w:p>
    <w:p w:rsidR="005026DB" w:rsidRDefault="005026DB" w:rsidP="005026DB">
      <w:pPr>
        <w:spacing w:after="200" w:line="276" w:lineRule="auto"/>
        <w:ind w:left="-720" w:right="-720"/>
        <w:rPr>
          <w:rFonts w:eastAsia="Calibri" w:cs="Arial"/>
          <w:color w:val="000000"/>
        </w:rPr>
      </w:pPr>
    </w:p>
    <w:p w:rsidR="00625817" w:rsidRPr="00625817" w:rsidRDefault="00241926" w:rsidP="005026DB">
      <w:pPr>
        <w:spacing w:after="200" w:line="276" w:lineRule="auto"/>
        <w:ind w:left="-720" w:right="-720"/>
        <w:jc w:val="center"/>
        <w:rPr>
          <w:rFonts w:ascii="Calibri" w:eastAsia="Calibri" w:hAnsi="Calibri" w:cs="Times New Roman"/>
          <w:i/>
        </w:rPr>
      </w:pPr>
      <w:r w:rsidRPr="00625817">
        <w:rPr>
          <w:rFonts w:ascii="Calibri" w:eastAsia="Calibri" w:hAnsi="Calibri" w:cs="Times New Roman"/>
          <w:i/>
        </w:rPr>
        <w:t>For more information on Good Shepherd Food Bank’s Community Health and Hunger Program and how you can get involv</w:t>
      </w:r>
      <w:r w:rsidR="00C110A4">
        <w:rPr>
          <w:rFonts w:ascii="Calibri" w:eastAsia="Calibri" w:hAnsi="Calibri" w:cs="Times New Roman"/>
          <w:i/>
        </w:rPr>
        <w:t>ed, please contact Laura Vinal</w:t>
      </w:r>
      <w:r w:rsidRPr="00625817">
        <w:rPr>
          <w:rFonts w:ascii="Calibri" w:eastAsia="Calibri" w:hAnsi="Calibri" w:cs="Times New Roman"/>
          <w:i/>
        </w:rPr>
        <w:t>, Program Manager, at 207.782.3554 ext</w:t>
      </w:r>
      <w:r w:rsidR="00B6067D" w:rsidRPr="00625817">
        <w:rPr>
          <w:rFonts w:ascii="Calibri" w:eastAsia="Calibri" w:hAnsi="Calibri" w:cs="Times New Roman"/>
          <w:i/>
        </w:rPr>
        <w:t>.</w:t>
      </w:r>
      <w:r w:rsidR="004E0D06">
        <w:rPr>
          <w:rFonts w:ascii="Calibri" w:eastAsia="Calibri" w:hAnsi="Calibri" w:cs="Times New Roman"/>
          <w:i/>
        </w:rPr>
        <w:t xml:space="preserve"> 113</w:t>
      </w:r>
      <w:r w:rsidRPr="00625817">
        <w:rPr>
          <w:rFonts w:ascii="Calibri" w:eastAsia="Calibri" w:hAnsi="Calibri" w:cs="Times New Roman"/>
          <w:i/>
        </w:rPr>
        <w:t xml:space="preserve">8 or at </w:t>
      </w:r>
      <w:hyperlink r:id="rId12" w:history="1">
        <w:r w:rsidR="00C110A4" w:rsidRPr="000D7D48">
          <w:rPr>
            <w:rStyle w:val="Hyperlink"/>
            <w:rFonts w:ascii="Calibri" w:eastAsia="Calibri" w:hAnsi="Calibri" w:cs="Times New Roman"/>
            <w:i/>
          </w:rPr>
          <w:t>lvinal@gsfb.org</w:t>
        </w:r>
      </w:hyperlink>
      <w:r w:rsidRPr="00625817">
        <w:rPr>
          <w:rFonts w:ascii="Calibri" w:eastAsia="Calibri" w:hAnsi="Calibri" w:cs="Times New Roman"/>
          <w:i/>
        </w:rPr>
        <w:t>.</w:t>
      </w:r>
    </w:p>
    <w:sectPr w:rsidR="00625817" w:rsidRPr="00625817" w:rsidSect="00F1749E">
      <w:footerReference w:type="default" r:id="rId1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029" w:rsidRDefault="006B6029">
      <w:pPr>
        <w:spacing w:after="0" w:line="240" w:lineRule="auto"/>
      </w:pPr>
      <w:r>
        <w:separator/>
      </w:r>
    </w:p>
  </w:endnote>
  <w:endnote w:type="continuationSeparator" w:id="0">
    <w:p w:rsidR="006B6029" w:rsidRDefault="006B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49E" w:rsidRPr="00CC306C" w:rsidRDefault="00584412" w:rsidP="00F1749E">
    <w:pPr>
      <w:pStyle w:val="FootnoteText"/>
      <w:ind w:left="-432" w:right="-432"/>
      <w:rPr>
        <w:sz w:val="16"/>
      </w:rPr>
    </w:pPr>
    <w:r>
      <w:rPr>
        <w:rStyle w:val="FootnoteReference"/>
        <w:sz w:val="18"/>
      </w:rPr>
      <w:t>*</w:t>
    </w:r>
    <w:r w:rsidR="00F1749E" w:rsidRPr="00CC306C">
      <w:rPr>
        <w:sz w:val="18"/>
      </w:rPr>
      <w:t xml:space="preserve"> </w:t>
    </w:r>
    <w:r w:rsidR="00F1749E" w:rsidRPr="00CC306C">
      <w:rPr>
        <w:sz w:val="16"/>
      </w:rPr>
      <w:fldChar w:fldCharType="begin"/>
    </w:r>
    <w:r w:rsidR="00F1749E" w:rsidRPr="00CC306C">
      <w:rPr>
        <w:sz w:val="16"/>
      </w:rPr>
      <w:instrText xml:space="preserve"> BIBLIOGRAPHY  \l 1033 </w:instrText>
    </w:r>
    <w:r w:rsidR="00F1749E" w:rsidRPr="00CC306C">
      <w:rPr>
        <w:sz w:val="16"/>
      </w:rPr>
      <w:fldChar w:fldCharType="separate"/>
    </w:r>
    <w:r w:rsidR="00F1749E" w:rsidRPr="00CC306C">
      <w:rPr>
        <w:noProof/>
        <w:sz w:val="16"/>
      </w:rPr>
      <w:t xml:space="preserve">Laura M. Segal, M., Jack Rayburn, M., &amp; Alejandra Martin, M. (2016). </w:t>
    </w:r>
    <w:r w:rsidR="00F1749E" w:rsidRPr="00CC306C">
      <w:rPr>
        <w:i/>
        <w:iCs/>
        <w:noProof/>
        <w:sz w:val="16"/>
      </w:rPr>
      <w:t>The State of Obesity.</w:t>
    </w:r>
    <w:r w:rsidR="00F1749E" w:rsidRPr="00CC306C">
      <w:rPr>
        <w:noProof/>
        <w:sz w:val="16"/>
      </w:rPr>
      <w:t xml:space="preserve"> Trust for America's Health and Robert Wood Johnson Foundation.</w:t>
    </w:r>
  </w:p>
  <w:p w:rsidR="00F1749E" w:rsidRDefault="00F1749E" w:rsidP="00F1749E">
    <w:pPr>
      <w:pStyle w:val="Footer"/>
    </w:pPr>
    <w:r w:rsidRPr="00CC306C">
      <w:rPr>
        <w:sz w:val="16"/>
      </w:rPr>
      <w:fldChar w:fldCharType="end"/>
    </w:r>
  </w:p>
  <w:p w:rsidR="009C3DEC" w:rsidRPr="00626A9C" w:rsidRDefault="00802CA7" w:rsidP="009C3DEC">
    <w:pPr>
      <w:pStyle w:val="Footer1"/>
      <w:ind w:left="-900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029" w:rsidRDefault="006B6029">
      <w:pPr>
        <w:spacing w:after="0" w:line="240" w:lineRule="auto"/>
      </w:pPr>
      <w:r>
        <w:separator/>
      </w:r>
    </w:p>
  </w:footnote>
  <w:footnote w:type="continuationSeparator" w:id="0">
    <w:p w:rsidR="006B6029" w:rsidRDefault="006B6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3MjcyMLe0sLS0MDRV0lEKTi0uzszPAykwNKwFAKuR7LAtAAAA"/>
  </w:docVars>
  <w:rsids>
    <w:rsidRoot w:val="003A4587"/>
    <w:rsid w:val="00002382"/>
    <w:rsid w:val="00012FBE"/>
    <w:rsid w:val="00020445"/>
    <w:rsid w:val="00027F4A"/>
    <w:rsid w:val="00033F38"/>
    <w:rsid w:val="0003511E"/>
    <w:rsid w:val="0004100D"/>
    <w:rsid w:val="00043BBE"/>
    <w:rsid w:val="00044140"/>
    <w:rsid w:val="00044563"/>
    <w:rsid w:val="0004758A"/>
    <w:rsid w:val="000509BA"/>
    <w:rsid w:val="000733BC"/>
    <w:rsid w:val="000762C6"/>
    <w:rsid w:val="00077362"/>
    <w:rsid w:val="0008508B"/>
    <w:rsid w:val="000948EB"/>
    <w:rsid w:val="000A4B65"/>
    <w:rsid w:val="000B2D86"/>
    <w:rsid w:val="000B6C85"/>
    <w:rsid w:val="000C1D01"/>
    <w:rsid w:val="000C40D9"/>
    <w:rsid w:val="000C795B"/>
    <w:rsid w:val="000E41B8"/>
    <w:rsid w:val="000F1372"/>
    <w:rsid w:val="000F1A66"/>
    <w:rsid w:val="000F58C8"/>
    <w:rsid w:val="00113570"/>
    <w:rsid w:val="001234E6"/>
    <w:rsid w:val="00125358"/>
    <w:rsid w:val="00127F6E"/>
    <w:rsid w:val="00136056"/>
    <w:rsid w:val="00154CC9"/>
    <w:rsid w:val="001601B8"/>
    <w:rsid w:val="00160E56"/>
    <w:rsid w:val="00165680"/>
    <w:rsid w:val="001826EB"/>
    <w:rsid w:val="0019087B"/>
    <w:rsid w:val="001A10D1"/>
    <w:rsid w:val="001A16BA"/>
    <w:rsid w:val="001C4A4B"/>
    <w:rsid w:val="001D0EB8"/>
    <w:rsid w:val="001D63B6"/>
    <w:rsid w:val="001E301D"/>
    <w:rsid w:val="00212FDA"/>
    <w:rsid w:val="00214D61"/>
    <w:rsid w:val="002202DA"/>
    <w:rsid w:val="00241926"/>
    <w:rsid w:val="00246A8C"/>
    <w:rsid w:val="00247414"/>
    <w:rsid w:val="002958C7"/>
    <w:rsid w:val="002A1F34"/>
    <w:rsid w:val="002A4EFD"/>
    <w:rsid w:val="002C0482"/>
    <w:rsid w:val="002D7364"/>
    <w:rsid w:val="002F46BA"/>
    <w:rsid w:val="002F666D"/>
    <w:rsid w:val="002F7291"/>
    <w:rsid w:val="00321D6D"/>
    <w:rsid w:val="00326352"/>
    <w:rsid w:val="00333203"/>
    <w:rsid w:val="00341CAE"/>
    <w:rsid w:val="00347E21"/>
    <w:rsid w:val="00361A76"/>
    <w:rsid w:val="003676A7"/>
    <w:rsid w:val="00393440"/>
    <w:rsid w:val="00396C1C"/>
    <w:rsid w:val="003A1D62"/>
    <w:rsid w:val="003A4587"/>
    <w:rsid w:val="003B54EA"/>
    <w:rsid w:val="003C0E12"/>
    <w:rsid w:val="003C4A24"/>
    <w:rsid w:val="003E5613"/>
    <w:rsid w:val="003E5D62"/>
    <w:rsid w:val="003E6C93"/>
    <w:rsid w:val="003F2A29"/>
    <w:rsid w:val="003F461C"/>
    <w:rsid w:val="004233B5"/>
    <w:rsid w:val="0042557C"/>
    <w:rsid w:val="00431224"/>
    <w:rsid w:val="00473E19"/>
    <w:rsid w:val="00475E37"/>
    <w:rsid w:val="004819EF"/>
    <w:rsid w:val="00483C4E"/>
    <w:rsid w:val="00484234"/>
    <w:rsid w:val="004879B4"/>
    <w:rsid w:val="00487B73"/>
    <w:rsid w:val="004A0EAB"/>
    <w:rsid w:val="004B371D"/>
    <w:rsid w:val="004C61BB"/>
    <w:rsid w:val="004D17E7"/>
    <w:rsid w:val="004D6EF5"/>
    <w:rsid w:val="004E0D06"/>
    <w:rsid w:val="004E54E5"/>
    <w:rsid w:val="00501A45"/>
    <w:rsid w:val="005026DB"/>
    <w:rsid w:val="00513E71"/>
    <w:rsid w:val="00517F7A"/>
    <w:rsid w:val="005313B1"/>
    <w:rsid w:val="00531CCA"/>
    <w:rsid w:val="005322FB"/>
    <w:rsid w:val="00540541"/>
    <w:rsid w:val="00544512"/>
    <w:rsid w:val="00545F1B"/>
    <w:rsid w:val="00557FC2"/>
    <w:rsid w:val="00563167"/>
    <w:rsid w:val="00584412"/>
    <w:rsid w:val="0059549F"/>
    <w:rsid w:val="005979A5"/>
    <w:rsid w:val="005A0471"/>
    <w:rsid w:val="005A44C1"/>
    <w:rsid w:val="005A5C6B"/>
    <w:rsid w:val="005A69DE"/>
    <w:rsid w:val="005C0315"/>
    <w:rsid w:val="005C0800"/>
    <w:rsid w:val="005C143F"/>
    <w:rsid w:val="005C65D3"/>
    <w:rsid w:val="005C6BDC"/>
    <w:rsid w:val="005C773F"/>
    <w:rsid w:val="005D08A3"/>
    <w:rsid w:val="005D2200"/>
    <w:rsid w:val="005E5DEE"/>
    <w:rsid w:val="005F1ACA"/>
    <w:rsid w:val="00600113"/>
    <w:rsid w:val="00605FFD"/>
    <w:rsid w:val="006228ED"/>
    <w:rsid w:val="00623DCC"/>
    <w:rsid w:val="00625817"/>
    <w:rsid w:val="00626860"/>
    <w:rsid w:val="0065169F"/>
    <w:rsid w:val="00665866"/>
    <w:rsid w:val="00667EDB"/>
    <w:rsid w:val="006753A8"/>
    <w:rsid w:val="006902D0"/>
    <w:rsid w:val="00690669"/>
    <w:rsid w:val="006957B3"/>
    <w:rsid w:val="006A103C"/>
    <w:rsid w:val="006B6029"/>
    <w:rsid w:val="006B7A0B"/>
    <w:rsid w:val="006C1F83"/>
    <w:rsid w:val="006C5C14"/>
    <w:rsid w:val="006E091E"/>
    <w:rsid w:val="006F13AB"/>
    <w:rsid w:val="00701BD4"/>
    <w:rsid w:val="00702529"/>
    <w:rsid w:val="0070300F"/>
    <w:rsid w:val="00711011"/>
    <w:rsid w:val="00712883"/>
    <w:rsid w:val="00735933"/>
    <w:rsid w:val="00735F55"/>
    <w:rsid w:val="00742E88"/>
    <w:rsid w:val="00742FE1"/>
    <w:rsid w:val="00745648"/>
    <w:rsid w:val="00750ED6"/>
    <w:rsid w:val="007571EC"/>
    <w:rsid w:val="007623CC"/>
    <w:rsid w:val="0076445C"/>
    <w:rsid w:val="00774754"/>
    <w:rsid w:val="00774E64"/>
    <w:rsid w:val="007775F4"/>
    <w:rsid w:val="007865ED"/>
    <w:rsid w:val="007961FA"/>
    <w:rsid w:val="00797975"/>
    <w:rsid w:val="007A49EF"/>
    <w:rsid w:val="007A698F"/>
    <w:rsid w:val="007B57B3"/>
    <w:rsid w:val="007C33F5"/>
    <w:rsid w:val="007C6368"/>
    <w:rsid w:val="00800FE6"/>
    <w:rsid w:val="008013AF"/>
    <w:rsid w:val="00802601"/>
    <w:rsid w:val="00802CA7"/>
    <w:rsid w:val="00805D39"/>
    <w:rsid w:val="00811195"/>
    <w:rsid w:val="00813B43"/>
    <w:rsid w:val="00813E60"/>
    <w:rsid w:val="00833385"/>
    <w:rsid w:val="00852914"/>
    <w:rsid w:val="00855736"/>
    <w:rsid w:val="0086486B"/>
    <w:rsid w:val="00864E42"/>
    <w:rsid w:val="00876919"/>
    <w:rsid w:val="008833FC"/>
    <w:rsid w:val="00885269"/>
    <w:rsid w:val="00892895"/>
    <w:rsid w:val="008935F5"/>
    <w:rsid w:val="00895105"/>
    <w:rsid w:val="008A4077"/>
    <w:rsid w:val="008A6E26"/>
    <w:rsid w:val="008B42B1"/>
    <w:rsid w:val="008D1914"/>
    <w:rsid w:val="008D6330"/>
    <w:rsid w:val="008E141E"/>
    <w:rsid w:val="00902A56"/>
    <w:rsid w:val="00903896"/>
    <w:rsid w:val="00904D7B"/>
    <w:rsid w:val="00925C43"/>
    <w:rsid w:val="00930CBE"/>
    <w:rsid w:val="00931E9C"/>
    <w:rsid w:val="009411B2"/>
    <w:rsid w:val="0094126E"/>
    <w:rsid w:val="00941C02"/>
    <w:rsid w:val="009448B7"/>
    <w:rsid w:val="0095122A"/>
    <w:rsid w:val="009532F8"/>
    <w:rsid w:val="00964106"/>
    <w:rsid w:val="00964D2D"/>
    <w:rsid w:val="009744D6"/>
    <w:rsid w:val="009825AA"/>
    <w:rsid w:val="009875A0"/>
    <w:rsid w:val="009906B1"/>
    <w:rsid w:val="00996852"/>
    <w:rsid w:val="009A0671"/>
    <w:rsid w:val="009D10C2"/>
    <w:rsid w:val="009E6ACB"/>
    <w:rsid w:val="009E6B28"/>
    <w:rsid w:val="009F2318"/>
    <w:rsid w:val="009F5BCE"/>
    <w:rsid w:val="00A04A46"/>
    <w:rsid w:val="00A05E1A"/>
    <w:rsid w:val="00A10FA7"/>
    <w:rsid w:val="00A12CE2"/>
    <w:rsid w:val="00A24139"/>
    <w:rsid w:val="00A24F9E"/>
    <w:rsid w:val="00A37046"/>
    <w:rsid w:val="00A44659"/>
    <w:rsid w:val="00A53D47"/>
    <w:rsid w:val="00A62266"/>
    <w:rsid w:val="00A65716"/>
    <w:rsid w:val="00A746C0"/>
    <w:rsid w:val="00A77448"/>
    <w:rsid w:val="00A86C53"/>
    <w:rsid w:val="00A87D19"/>
    <w:rsid w:val="00AB4ECD"/>
    <w:rsid w:val="00AB77F4"/>
    <w:rsid w:val="00AD564C"/>
    <w:rsid w:val="00AE0A68"/>
    <w:rsid w:val="00AF450D"/>
    <w:rsid w:val="00AF7524"/>
    <w:rsid w:val="00B33DCC"/>
    <w:rsid w:val="00B54029"/>
    <w:rsid w:val="00B551E3"/>
    <w:rsid w:val="00B6067D"/>
    <w:rsid w:val="00B710B3"/>
    <w:rsid w:val="00B7720B"/>
    <w:rsid w:val="00B777FC"/>
    <w:rsid w:val="00B802E8"/>
    <w:rsid w:val="00B9153F"/>
    <w:rsid w:val="00B93C04"/>
    <w:rsid w:val="00B97E66"/>
    <w:rsid w:val="00BB4109"/>
    <w:rsid w:val="00BC1F5B"/>
    <w:rsid w:val="00BC3D8D"/>
    <w:rsid w:val="00BC43EB"/>
    <w:rsid w:val="00BC5B03"/>
    <w:rsid w:val="00BD53AD"/>
    <w:rsid w:val="00BE236F"/>
    <w:rsid w:val="00BE66C5"/>
    <w:rsid w:val="00BE7193"/>
    <w:rsid w:val="00BF7A40"/>
    <w:rsid w:val="00C01168"/>
    <w:rsid w:val="00C02E7C"/>
    <w:rsid w:val="00C04256"/>
    <w:rsid w:val="00C04D93"/>
    <w:rsid w:val="00C110A4"/>
    <w:rsid w:val="00C35447"/>
    <w:rsid w:val="00C36442"/>
    <w:rsid w:val="00C36A73"/>
    <w:rsid w:val="00C45821"/>
    <w:rsid w:val="00C50DE5"/>
    <w:rsid w:val="00C5213E"/>
    <w:rsid w:val="00C57B7B"/>
    <w:rsid w:val="00C60E1E"/>
    <w:rsid w:val="00C62870"/>
    <w:rsid w:val="00C708BF"/>
    <w:rsid w:val="00C74B2D"/>
    <w:rsid w:val="00C95226"/>
    <w:rsid w:val="00C95D1E"/>
    <w:rsid w:val="00CA720D"/>
    <w:rsid w:val="00CE0428"/>
    <w:rsid w:val="00D00008"/>
    <w:rsid w:val="00D007A2"/>
    <w:rsid w:val="00D07F38"/>
    <w:rsid w:val="00D1255F"/>
    <w:rsid w:val="00D130D1"/>
    <w:rsid w:val="00D2722E"/>
    <w:rsid w:val="00D3441E"/>
    <w:rsid w:val="00D37650"/>
    <w:rsid w:val="00D40DCB"/>
    <w:rsid w:val="00D41A1E"/>
    <w:rsid w:val="00D41FDD"/>
    <w:rsid w:val="00D44E0A"/>
    <w:rsid w:val="00D56842"/>
    <w:rsid w:val="00D617DC"/>
    <w:rsid w:val="00D674D6"/>
    <w:rsid w:val="00D852DA"/>
    <w:rsid w:val="00D94761"/>
    <w:rsid w:val="00D97DE4"/>
    <w:rsid w:val="00DB137E"/>
    <w:rsid w:val="00DB289F"/>
    <w:rsid w:val="00DB2B9F"/>
    <w:rsid w:val="00DB682B"/>
    <w:rsid w:val="00DC0CAC"/>
    <w:rsid w:val="00DD356C"/>
    <w:rsid w:val="00DF036D"/>
    <w:rsid w:val="00DF7DCE"/>
    <w:rsid w:val="00E029AC"/>
    <w:rsid w:val="00E03C76"/>
    <w:rsid w:val="00E1462F"/>
    <w:rsid w:val="00E20A3F"/>
    <w:rsid w:val="00E2125D"/>
    <w:rsid w:val="00E25DDA"/>
    <w:rsid w:val="00E27179"/>
    <w:rsid w:val="00E33746"/>
    <w:rsid w:val="00E37C5E"/>
    <w:rsid w:val="00E37ED7"/>
    <w:rsid w:val="00E46E35"/>
    <w:rsid w:val="00E563ED"/>
    <w:rsid w:val="00E63A43"/>
    <w:rsid w:val="00E81672"/>
    <w:rsid w:val="00E9021B"/>
    <w:rsid w:val="00EB048A"/>
    <w:rsid w:val="00EB4279"/>
    <w:rsid w:val="00EB4E17"/>
    <w:rsid w:val="00EC2520"/>
    <w:rsid w:val="00ED4617"/>
    <w:rsid w:val="00ED5EEC"/>
    <w:rsid w:val="00ED7A13"/>
    <w:rsid w:val="00EE7721"/>
    <w:rsid w:val="00EF14F0"/>
    <w:rsid w:val="00EF170C"/>
    <w:rsid w:val="00EF1A88"/>
    <w:rsid w:val="00EF1C6B"/>
    <w:rsid w:val="00F038ED"/>
    <w:rsid w:val="00F10589"/>
    <w:rsid w:val="00F11239"/>
    <w:rsid w:val="00F113DE"/>
    <w:rsid w:val="00F1749E"/>
    <w:rsid w:val="00F2503B"/>
    <w:rsid w:val="00F3732C"/>
    <w:rsid w:val="00F45F82"/>
    <w:rsid w:val="00F528D2"/>
    <w:rsid w:val="00F81C7A"/>
    <w:rsid w:val="00F96A21"/>
    <w:rsid w:val="00F97F48"/>
    <w:rsid w:val="00FB0FE1"/>
    <w:rsid w:val="00FB14DD"/>
    <w:rsid w:val="00FC5DE9"/>
    <w:rsid w:val="00FC746B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A5A0D-F42B-4FF8-A1F0-815BD4CB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nhideWhenUsed/>
    <w:rsid w:val="003A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3A4587"/>
  </w:style>
  <w:style w:type="paragraph" w:styleId="NormalWeb">
    <w:name w:val="Normal (Web)"/>
    <w:basedOn w:val="Normal"/>
    <w:uiPriority w:val="99"/>
    <w:semiHidden/>
    <w:unhideWhenUsed/>
    <w:rsid w:val="003A45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unhideWhenUsed/>
    <w:rsid w:val="003A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3A4587"/>
  </w:style>
  <w:style w:type="character" w:styleId="Hyperlink">
    <w:name w:val="Hyperlink"/>
    <w:basedOn w:val="DefaultParagraphFont"/>
    <w:uiPriority w:val="99"/>
    <w:unhideWhenUsed/>
    <w:rsid w:val="001656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3A8"/>
  </w:style>
  <w:style w:type="paragraph" w:styleId="BalloonText">
    <w:name w:val="Balloon Text"/>
    <w:basedOn w:val="Normal"/>
    <w:link w:val="BalloonTextChar"/>
    <w:uiPriority w:val="99"/>
    <w:semiHidden/>
    <w:unhideWhenUsed/>
    <w:rsid w:val="0070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D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D674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74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74D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674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vinal@gsfb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62B81-2F24-4C19-997D-46835B0C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Higgins</dc:creator>
  <cp:keywords/>
  <dc:description/>
  <cp:lastModifiedBy>Laura Higgins</cp:lastModifiedBy>
  <cp:revision>4</cp:revision>
  <cp:lastPrinted>2017-06-09T14:18:00Z</cp:lastPrinted>
  <dcterms:created xsi:type="dcterms:W3CDTF">2017-07-11T17:25:00Z</dcterms:created>
  <dcterms:modified xsi:type="dcterms:W3CDTF">2018-01-15T18:45:00Z</dcterms:modified>
</cp:coreProperties>
</file>